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33D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drawing>
          <wp:inline distT="0" distB="0" distL="114300" distR="114300">
            <wp:extent cx="2179955" cy="822325"/>
            <wp:effectExtent l="0" t="0" r="0" b="0"/>
            <wp:docPr id="1" name="图片 1" descr="微信图片_2024092409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240914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31D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/>
        <w:jc w:val="center"/>
        <w:textAlignment w:val="auto"/>
        <w:rPr>
          <w:rFonts w:hint="default" w:ascii="Times New Roman" w:hAnsi="Times New Roman" w:eastAsia="方正大标宋简体" w:cs="Times New Roman"/>
          <w:color w:val="FF0000"/>
          <w:w w:val="85"/>
          <w:sz w:val="120"/>
          <w:szCs w:val="120"/>
        </w:rPr>
      </w:pPr>
      <w:r>
        <w:rPr>
          <w:rFonts w:hint="default" w:ascii="Times New Roman" w:hAnsi="Times New Roman" w:eastAsia="楷体" w:cs="Times New Roman"/>
          <w:color w:val="FF0000"/>
          <w:w w:val="85"/>
          <w:sz w:val="120"/>
          <w:szCs w:val="120"/>
          <w:lang w:val="en-US" w:eastAsia="zh-CN"/>
        </w:rPr>
        <w:t>重点项目</w:t>
      </w:r>
      <w:r>
        <w:rPr>
          <w:rFonts w:hint="default" w:ascii="Times New Roman" w:hAnsi="Times New Roman" w:eastAsia="楷体" w:cs="Times New Roman"/>
          <w:color w:val="FF0000"/>
          <w:w w:val="85"/>
          <w:sz w:val="120"/>
          <w:szCs w:val="120"/>
        </w:rPr>
        <w:t>建设月报</w:t>
      </w:r>
    </w:p>
    <w:p w14:paraId="07E023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2026年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月份</w:t>
      </w:r>
    </w:p>
    <w:p w14:paraId="7F1CDE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00" w:firstLineChars="1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382905</wp:posOffset>
                </wp:positionV>
                <wp:extent cx="6095365" cy="1397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5365" cy="1397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591326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.15pt;margin-top:30.15pt;height:1.1pt;width:479.95pt;z-index:251659264;mso-width-relative:page;mso-height-relative:page;" filled="f" stroked="t" coordsize="21600,21600" o:gfxdata="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8REJb1wAAAAcBAAAPAAAAAAAA&#10;AAEAIAAAACIAAABkcnMvZG93bnJldi54bWxQSwECFAAUAAAACACHTuJAdJl1cRMCAAAGBAAADgAA&#10;AAAAAAABACAAAAAmAQAAZHJzL2Uyb0RvYy54bWxQSwUGAAAAAAYABgBZAQAAqwUAAAAA&#10;">
                <v:fill on="f" focussize="0,0"/>
                <v:stroke weight="1.25pt" color="#FF0000" joinstyle="round"/>
                <v:imagedata o:title=""/>
                <o:lock v:ext="edit" aspectratio="f"/>
                <v:textbox>
                  <w:txbxContent>
                    <w:p w14:paraId="11591326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 xml:space="preserve">安全管理部  </w:t>
      </w:r>
      <w:r>
        <w:rPr>
          <w:rFonts w:hint="default" w:ascii="Times New Roman" w:hAnsi="Times New Roman" w:eastAsia="楷体_GB2312" w:cs="Times New Roman"/>
          <w:sz w:val="30"/>
          <w:szCs w:val="30"/>
        </w:rPr>
        <w:t xml:space="preserve">               </w: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 xml:space="preserve">             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202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sz w:val="28"/>
          <w:szCs w:val="28"/>
        </w:rPr>
        <w:t>年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sz w:val="28"/>
          <w:szCs w:val="28"/>
        </w:rPr>
        <w:t>月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微软雅黑" w:cs="Times New Roman"/>
          <w:sz w:val="28"/>
          <w:szCs w:val="28"/>
        </w:rPr>
        <w:t>日</w:t>
      </w:r>
    </w:p>
    <w:p w14:paraId="6BC1DF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</w:p>
    <w:p w14:paraId="358183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太行智慧冷链物流园项目</w:t>
      </w:r>
    </w:p>
    <w:p w14:paraId="37F573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  <w:t>一 项目概述</w:t>
      </w:r>
    </w:p>
    <w:p w14:paraId="0AFD8C95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园区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总投资约为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78433万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所辖主要工程为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铁路专用线改扩建项目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智慧冷链物流中心项目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铁路及生鲜物流中心项目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常低温库项目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共四个在建项目。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年度计划投资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2700万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元，本年度累计完成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约2355万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元，本月完成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约300万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元。</w:t>
      </w:r>
    </w:p>
    <w:p w14:paraId="3B2A0C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  <w:t>二 进展情况</w:t>
      </w:r>
    </w:p>
    <w:p w14:paraId="41D4337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楷体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_GB2312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default" w:ascii="Times New Roman" w:hAnsi="Times New Roman" w:eastAsia="方正楷体_GB2312" w:cs="Times New Roman"/>
          <w:sz w:val="30"/>
          <w:szCs w:val="30"/>
          <w:lang w:val="en-US" w:eastAsia="zh-CN"/>
        </w:rPr>
        <w:t>工程进度（</w:t>
      </w:r>
      <w:r>
        <w:rPr>
          <w:rFonts w:hint="default" w:ascii="Times New Roman" w:hAnsi="Times New Roman" w:eastAsia="方正楷体_GB2312" w:cs="Times New Roman"/>
          <w:b w:val="0"/>
          <w:bCs w:val="0"/>
          <w:kern w:val="2"/>
          <w:sz w:val="30"/>
          <w:szCs w:val="30"/>
          <w:lang w:val="en-US" w:eastAsia="zh-CN" w:bidi="ar-SA"/>
        </w:rPr>
        <w:t>每个项目单列说明情况</w:t>
      </w:r>
      <w:r>
        <w:rPr>
          <w:rFonts w:hint="default" w:ascii="Times New Roman" w:hAnsi="Times New Roman" w:eastAsia="方正楷体_GB2312" w:cs="Times New Roman"/>
          <w:sz w:val="30"/>
          <w:szCs w:val="30"/>
          <w:lang w:val="en-US" w:eastAsia="zh-CN"/>
        </w:rPr>
        <w:t>）</w:t>
      </w:r>
    </w:p>
    <w:p w14:paraId="333F26EC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本月工程进展良好，主要完成以下工作：</w:t>
      </w:r>
    </w:p>
    <w:p w14:paraId="5326C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铁路及生鲜物流中心项目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：</w:t>
      </w:r>
    </w:p>
    <w:p w14:paraId="44035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#库完成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地面固化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50%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，库门完成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100%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，制冷设备安装完成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100%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，高架库吊顶完成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100%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、保温完成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100%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，配电室完成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100%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，弱电完成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60%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 w14:paraId="0FDCB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智慧冷链物流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园常低温库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项目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：</w:t>
      </w:r>
    </w:p>
    <w:p w14:paraId="1BB427ED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4#常温库项目本月A区立库（货架部分）完成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95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%。</w:t>
      </w:r>
    </w:p>
    <w:p w14:paraId="7F41DDDC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5#标准冷库项目本月主要完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成钢梯安装完成100%，制冷管道保温完成80%，一层，二层回笼间完成100%，水电施工完成95%，消防安装完成90%，二层滑升门完成80%。</w:t>
      </w:r>
    </w:p>
    <w:p w14:paraId="26B47DC3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6#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标准冷库项目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库本月完成吊顶工程，消防工程，水电工程，制冷管道保温工程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100%。</w:t>
      </w:r>
    </w:p>
    <w:p w14:paraId="2410049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楷体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kern w:val="2"/>
          <w:sz w:val="30"/>
          <w:szCs w:val="30"/>
          <w:lang w:val="en-US" w:eastAsia="zh-CN" w:bidi="ar-SA"/>
        </w:rPr>
        <w:t>（二）质量控制</w:t>
      </w:r>
    </w:p>
    <w:p w14:paraId="7B03D92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本月质量控制工作严格执行，主要措施包括：</w:t>
      </w:r>
    </w:p>
    <w:p w14:paraId="1A27281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60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材料质量控制：</w:t>
      </w:r>
    </w:p>
    <w:p w14:paraId="7217E92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60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进场材料需检验，对线缆、管件、保温材料等进行抽样检测，确保质量合格。</w:t>
      </w:r>
    </w:p>
    <w:p w14:paraId="73B85AB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60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施工工艺控制：</w:t>
      </w:r>
    </w:p>
    <w:p w14:paraId="168CF37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60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严格按照施工方案和规范操作，对焊接、安装、保温等关键工序、关键工作进行重点监控。</w:t>
      </w:r>
    </w:p>
    <w:p w14:paraId="3296AC9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60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质量记录管理：</w:t>
      </w:r>
    </w:p>
    <w:p w14:paraId="1F21492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60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严格按照施工方案和规范操作，确保施工工艺符合要求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施工中过程控制，严格执行三检制。</w:t>
      </w:r>
    </w:p>
    <w:p w14:paraId="27FA0A3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60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整理并审核所有质量记录，确保完整、准确。做好施工记录，确保可追溯。；</w:t>
      </w:r>
    </w:p>
    <w:p w14:paraId="4098666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60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监理及施工单位旁站、巡查；各隐蔽工程严格执行报检验收程序‌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  <w:t>‌</w:t>
      </w:r>
    </w:p>
    <w:p w14:paraId="2A65C6E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楷体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kern w:val="2"/>
          <w:sz w:val="30"/>
          <w:szCs w:val="30"/>
          <w:lang w:val="en-US" w:eastAsia="zh-CN" w:bidi="ar-SA"/>
        </w:rPr>
        <w:t>（三）安全生产</w:t>
      </w:r>
    </w:p>
    <w:p w14:paraId="6E33637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本月开展安全检查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共5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次，发现问题7项。主要措施包括：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对发现的安全隐患及时整改；检查季节性施工防汛方面资料与物资；检查配电箱安全使用；报废灭火器及时清场，易燃材料堆放处配备灭火器；临边防护增加围挡；检查登高作业安全带是否满足要求；使工程建设前后生态环境有所改进或保持原有状态；对现场施工人员加强安全培训教育，加强安全员巡检工作。</w:t>
      </w:r>
    </w:p>
    <w:p w14:paraId="1D90936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  <w:t>三 成本控制</w:t>
      </w:r>
    </w:p>
    <w:p w14:paraId="1591AD8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本月成本控制良好，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太行智慧冷链物流园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区本月产值（园区总和）300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主要措施包括：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材料、设备等采购、设备安装、装饰装修，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施工材料储备及施工准备。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确保按要求完成施工、质量、成本控制工作。</w:t>
      </w:r>
    </w:p>
    <w:p w14:paraId="6AE2A3E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  <w:t>四 协调与沟通</w:t>
      </w:r>
    </w:p>
    <w:p w14:paraId="44161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项目管理单位和建设单位全方位巡查，及时发现并纠正施工过程中出现的质量问题。</w:t>
      </w:r>
    </w:p>
    <w:p w14:paraId="1BE86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安全生产方面：每日对施工现场进行巡查，各参建单位认真落实安全生产责任制，加强对施工现场的安全管理，及时发现并消除安全隐患。</w:t>
      </w:r>
    </w:p>
    <w:p w14:paraId="41AAB18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  <w:t>五 风险及问题</w:t>
      </w:r>
    </w:p>
    <w:p w14:paraId="64F8B4FB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项目存在以下风险、问题：无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 w14:paraId="2100852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  <w:t>六 下一步工作计划</w:t>
      </w:r>
    </w:p>
    <w:p w14:paraId="3606903A">
      <w:pPr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智慧冷链物流园常低温库项目：</w:t>
      </w:r>
    </w:p>
    <w:p w14:paraId="34D7E4BA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严格按照验收程序进行每道工序的验收，持续强化现场质量、安全、进度、环保管控力度，督促施工单位全面落实降尘抑尘措施，切实做到“六个百分百、两个全覆盖”的要求；做好甲控材料审核工作。</w:t>
      </w:r>
    </w:p>
    <w:p w14:paraId="596E7D60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检查施工单位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安全隐患排查，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包括应急组织、物资储备、排水措施、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消防安全检查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。</w:t>
      </w:r>
    </w:p>
    <w:p w14:paraId="3664346F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施工计划及资源分配更新优化，加快施工进度，现场人员调动实施动态管理，加强施工现场管理。</w:t>
      </w:r>
    </w:p>
    <w:p w14:paraId="7C45DE1C">
      <w:pPr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铁路及生鲜物流中心项目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：</w:t>
      </w:r>
    </w:p>
    <w:p w14:paraId="56EB9C09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加快园区室外工程进度，全力推进道路、管网、水电、围墙等室外工程，对现场人员工作定岗定责，检查主要负责人在岗情况。</w:t>
      </w:r>
    </w:p>
    <w:p w14:paraId="4C75D283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对辖区内各标段进行全方位的检查，主要针对现场临电、消防、大型机械设备、现场安全防护措施、特种作业人员持证情况、人员劳动防护用品使用等内容，</w:t>
      </w:r>
    </w:p>
    <w:p w14:paraId="1B721BA2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督促施工单位严格落实整改措施、整改责任人、督办人和整改时间，确保解决所有的安全隐患，切实维护安全生产形势持续稳定。</w:t>
      </w:r>
    </w:p>
    <w:p w14:paraId="1AB6EEAD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完善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各参建单位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内业资料。</w:t>
      </w:r>
    </w:p>
    <w:p w14:paraId="6295A6D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  <w:t>七 建议与总结</w:t>
      </w:r>
    </w:p>
    <w:p w14:paraId="21EF13E7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综上所述，本月项目进展情况良好，持续加强安全、环保等工作，下一步需要重点关注安装工程与设备调试，同时加强与政府部门的沟通，及时解决存在的环保问题，严格落实环保措施。</w:t>
      </w:r>
    </w:p>
    <w:p w14:paraId="100E816B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2"/>
          <w:sz w:val="40"/>
          <w:szCs w:val="40"/>
          <w:lang w:val="en-US" w:eastAsia="zh-CN" w:bidi="ar-SA"/>
        </w:rPr>
      </w:pPr>
    </w:p>
    <w:p w14:paraId="52CBDC72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0"/>
          <w:szCs w:val="40"/>
          <w:lang w:val="en-US" w:eastAsia="zh-CN" w:bidi="ar-SA"/>
        </w:rPr>
        <w:t>衡水陆港铁路专用线项目</w:t>
      </w:r>
    </w:p>
    <w:p w14:paraId="5531B92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  <w:t>一 项目概述</w:t>
      </w:r>
    </w:p>
    <w:p w14:paraId="469E6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总投资约为4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.1234亿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元，20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年度投资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0.27亿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元，本年累计完成约</w:t>
      </w:r>
      <w:r>
        <w:rPr>
          <w:rStyle w:val="16"/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0.04亿元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，本月完成投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资</w:t>
      </w:r>
      <w:r>
        <w:rPr>
          <w:rStyle w:val="16"/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0.036亿元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由中国中铁五局集团有限公司承建。</w:t>
      </w:r>
    </w:p>
    <w:p w14:paraId="4F308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衡水国际陆港物流区项目1号、2号普通仓库及配套设施工程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项目2026年投资为0.68亿元，本年累计完成约为0.2365亿元，本月完成投资0.1685亿元，由太行城乡建设集团有限公司承建。</w:t>
      </w:r>
    </w:p>
    <w:p w14:paraId="16C231B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  <w:t>二 进展情况</w:t>
      </w:r>
    </w:p>
    <w:p w14:paraId="1DD4CB5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楷体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kern w:val="2"/>
          <w:sz w:val="30"/>
          <w:szCs w:val="30"/>
          <w:lang w:val="en-US" w:eastAsia="zh-CN" w:bidi="ar-SA"/>
        </w:rPr>
        <w:t>（一）工程进度</w:t>
      </w:r>
    </w:p>
    <w:p w14:paraId="25F449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本月工程进展暂无进展，整体按计划进行，主要工程进度如下：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完成房屋装修、到发线建设、园区内附属工程及四电工程部分的施工，房建工程累计完成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%；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条到发线（路基、排水完成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%，道砟铺设完成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%，铺轨完成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%）完成到发线施工计划关键点；园区附属工程累计完成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90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%（排水系统边坡防护除涉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S391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改线段外已全部完成）；四电工程完成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95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%；引线部分完成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65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王政渠中桥施工完成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100%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，路基帮宽完成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，四电工程完成80%，门式起重机主体完成组装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 w14:paraId="05A2D56B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衡水国际陆港物流区项目1号、2号普通仓库及配套设施工程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桩基累计完成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%，钢结构主体完成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%，墙板安装完成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%，管道完成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%，门窗工程完成制作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%，仓库内地面灰土垫层、基层完成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%，园区道路完成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80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%，消防管道安装完成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60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%。</w:t>
      </w:r>
    </w:p>
    <w:p w14:paraId="175F90C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楷体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kern w:val="2"/>
          <w:sz w:val="30"/>
          <w:szCs w:val="30"/>
          <w:lang w:val="en-US" w:eastAsia="zh-CN" w:bidi="ar-SA"/>
        </w:rPr>
        <w:t>（二）质量控制</w:t>
      </w:r>
    </w:p>
    <w:p w14:paraId="6295D5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本月质量控制工作严格依据GB/T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19001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2008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《质量管理体系要求》、GB/T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50430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2007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《工程建设施工企业质量管理规范》及相关规章制度等建立完整的质量保证体系、质量管理体系以及质量保证与控制方案，开展了项目质量专项检查：道路的厚度、平整度；仓内地面施工：联锁块铺装平整度，碎石地面压实度、平整度；门窗安装的固定间距及窗框的填充情况；电缆原材质量等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项重点检查活动，主要发现了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质量问题，举措下发整改通知单。针对混凝土外观质量、平整度；联锁块铺装、碎石地面压实度等进行了重点管控，要求严格落实“三检制”和隐蔽工程管理。通过施工单位自检、监理抽检和第三方检测，混凝土强度合格率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%，厚度合格率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%，碎石压实度合格率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%，联锁块铺装平整度合格率 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95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%。</w:t>
      </w:r>
    </w:p>
    <w:p w14:paraId="5F71492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楷体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kern w:val="2"/>
          <w:sz w:val="30"/>
          <w:szCs w:val="30"/>
          <w:lang w:val="en-US" w:eastAsia="zh-CN" w:bidi="ar-SA"/>
        </w:rPr>
        <w:t>（三）安全生产</w:t>
      </w:r>
    </w:p>
    <w:p w14:paraId="5AAB1FF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本月主要开展安全检查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次，发现问题隐患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项，已整改完成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项。</w:t>
      </w:r>
    </w:p>
    <w:p w14:paraId="0F4B794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  <w:t>三 成本控制</w:t>
      </w:r>
    </w:p>
    <w:p w14:paraId="3CF93D2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本月成本控制良好按计划进行无偏差，本月固定资产投资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0.2085亿元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。</w:t>
      </w:r>
    </w:p>
    <w:p w14:paraId="1AC2290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  <w:t>四 协调与沟通</w:t>
      </w:r>
    </w:p>
    <w:p w14:paraId="5EDF2EE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省道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S391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改线施工滞后，现已编制好剩余工作量的施工计划，按计划施工。</w:t>
      </w:r>
    </w:p>
    <w:p w14:paraId="0867479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  <w:t>五 风险及问题</w:t>
      </w:r>
    </w:p>
    <w:p w14:paraId="3A10A10E">
      <w:pPr>
        <w:pStyle w:val="1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现场存在风险点分析及应对措施：无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。</w:t>
      </w:r>
    </w:p>
    <w:p w14:paraId="3C7938E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  <w:t>六 下一步工作计划</w:t>
      </w:r>
    </w:p>
    <w:p w14:paraId="41696E63"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完成具体目标为：门式起重机完成安装，完成物流区仓库钢结构与墙板安装，完成园区内道路施工。</w:t>
      </w:r>
    </w:p>
    <w:p w14:paraId="05228A6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  <w:t>七 建议与总结</w:t>
      </w:r>
    </w:p>
    <w:p w14:paraId="184752D2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综上所述，本月衡水智慧物流港铁路专用线（一期）项目已组织人员入场，对剩余工程量进行梳理，倒排工期，已开始进行路基施工，并根据计划节点完成铁路接触网迁改；衡水国际陆港物流区项目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号、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号普通仓库及配套设施工程项目工作正常进行；下一步需要重点关注园区配套施工工作，同时加强与各参建单位的沟通，及时解决安全隐患，确保不发生安全生产事故。</w:t>
      </w:r>
    </w:p>
    <w:sectPr>
      <w:footerReference r:id="rId3" w:type="default"/>
      <w:pgSz w:w="11906" w:h="16838"/>
      <w:pgMar w:top="1009" w:right="1440" w:bottom="100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A3CE239-D0A2-447C-A949-BC1502C9097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9102E63-7F1C-4A02-9967-C998C49A764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5A7EFEA-2BCE-4536-8825-94C0FF584EAE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5125C30-C6A1-4AD4-A254-F7BF4EECA629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5EFBB82D-C88C-4B75-B169-3832719B1A8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FF2F6DA9-66B1-4CF4-AEAF-D46A66FAA1C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3656A081-6037-490D-8DB1-1014503B921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A60B505F-C314-4877-BDE4-F0CB2859B5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326857CF-80AB-4D87-8823-94FAE6EBD9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103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A9CC5"/>
    <w:multiLevelType w:val="singleLevel"/>
    <w:tmpl w:val="004A9CC5"/>
    <w:lvl w:ilvl="0" w:tentative="0">
      <w:start w:val="1"/>
      <w:numFmt w:val="chineseCounting"/>
      <w:pStyle w:val="9"/>
      <w:suff w:val="nothing"/>
      <w:lvlText w:val="%1、"/>
      <w:lvlJc w:val="left"/>
      <w:rPr>
        <w:rFonts w:hint="eastAsia"/>
      </w:rPr>
    </w:lvl>
  </w:abstractNum>
  <w:abstractNum w:abstractNumId="1">
    <w:nsid w:val="10D9247B"/>
    <w:multiLevelType w:val="singleLevel"/>
    <w:tmpl w:val="10D9247B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WM1YmNkNTc3NzE2MGYyMDhlNGMyZjZiZDk5MWEifQ=="/>
  </w:docVars>
  <w:rsids>
    <w:rsidRoot w:val="659B71CE"/>
    <w:rsid w:val="00DE5743"/>
    <w:rsid w:val="011B14F5"/>
    <w:rsid w:val="020F09CB"/>
    <w:rsid w:val="023918A3"/>
    <w:rsid w:val="034B1A26"/>
    <w:rsid w:val="03B409DD"/>
    <w:rsid w:val="03B94246"/>
    <w:rsid w:val="05340028"/>
    <w:rsid w:val="054126E0"/>
    <w:rsid w:val="054E5D39"/>
    <w:rsid w:val="05A364E8"/>
    <w:rsid w:val="05A418FF"/>
    <w:rsid w:val="060F45F1"/>
    <w:rsid w:val="07233008"/>
    <w:rsid w:val="07983601"/>
    <w:rsid w:val="07D21D7A"/>
    <w:rsid w:val="0A1D724C"/>
    <w:rsid w:val="0A5B699C"/>
    <w:rsid w:val="0A985582"/>
    <w:rsid w:val="0AC736EC"/>
    <w:rsid w:val="0B9D489B"/>
    <w:rsid w:val="0CD27373"/>
    <w:rsid w:val="0D2E35AF"/>
    <w:rsid w:val="0D611A9D"/>
    <w:rsid w:val="0D8238FA"/>
    <w:rsid w:val="0DB066B9"/>
    <w:rsid w:val="0DED02E8"/>
    <w:rsid w:val="0DED16BC"/>
    <w:rsid w:val="0DFF319D"/>
    <w:rsid w:val="0E2055ED"/>
    <w:rsid w:val="0E3966AF"/>
    <w:rsid w:val="0F842885"/>
    <w:rsid w:val="0FFD7C37"/>
    <w:rsid w:val="10042CED"/>
    <w:rsid w:val="103F3D25"/>
    <w:rsid w:val="10923C2A"/>
    <w:rsid w:val="11301F7A"/>
    <w:rsid w:val="113D0232"/>
    <w:rsid w:val="11953D14"/>
    <w:rsid w:val="120D4DB1"/>
    <w:rsid w:val="122624A0"/>
    <w:rsid w:val="12D33DF7"/>
    <w:rsid w:val="12D43CCE"/>
    <w:rsid w:val="12E017EF"/>
    <w:rsid w:val="136120DB"/>
    <w:rsid w:val="13815192"/>
    <w:rsid w:val="13891346"/>
    <w:rsid w:val="14225F7F"/>
    <w:rsid w:val="14263231"/>
    <w:rsid w:val="14317D31"/>
    <w:rsid w:val="15C947BC"/>
    <w:rsid w:val="15F43AE5"/>
    <w:rsid w:val="16AC5084"/>
    <w:rsid w:val="16E6314C"/>
    <w:rsid w:val="17150F4F"/>
    <w:rsid w:val="17516817"/>
    <w:rsid w:val="187C5B16"/>
    <w:rsid w:val="194523AC"/>
    <w:rsid w:val="19E971DB"/>
    <w:rsid w:val="1A911621"/>
    <w:rsid w:val="1AFC1232"/>
    <w:rsid w:val="1B1A10A6"/>
    <w:rsid w:val="1B97519F"/>
    <w:rsid w:val="1C623275"/>
    <w:rsid w:val="1CC7757C"/>
    <w:rsid w:val="1CD1588C"/>
    <w:rsid w:val="1D320895"/>
    <w:rsid w:val="1DBB0E8E"/>
    <w:rsid w:val="1DDB508D"/>
    <w:rsid w:val="1DF43770"/>
    <w:rsid w:val="1E272980"/>
    <w:rsid w:val="1EB02FE7"/>
    <w:rsid w:val="1EC0236C"/>
    <w:rsid w:val="1EC76851"/>
    <w:rsid w:val="1EC83E8F"/>
    <w:rsid w:val="1EE8568F"/>
    <w:rsid w:val="1EF42B3D"/>
    <w:rsid w:val="1F7C63FB"/>
    <w:rsid w:val="1FA85442"/>
    <w:rsid w:val="20713AC4"/>
    <w:rsid w:val="20BE2A44"/>
    <w:rsid w:val="21020B82"/>
    <w:rsid w:val="2136344F"/>
    <w:rsid w:val="21591C32"/>
    <w:rsid w:val="21611D4D"/>
    <w:rsid w:val="21AC1F07"/>
    <w:rsid w:val="222B19BA"/>
    <w:rsid w:val="22F4274D"/>
    <w:rsid w:val="235365F3"/>
    <w:rsid w:val="23FD4A32"/>
    <w:rsid w:val="24043910"/>
    <w:rsid w:val="24480FA2"/>
    <w:rsid w:val="2459492E"/>
    <w:rsid w:val="24AB6FD8"/>
    <w:rsid w:val="24B52B04"/>
    <w:rsid w:val="251B62D1"/>
    <w:rsid w:val="25C10493"/>
    <w:rsid w:val="25DF0728"/>
    <w:rsid w:val="260247A3"/>
    <w:rsid w:val="28CE18BA"/>
    <w:rsid w:val="29AD7761"/>
    <w:rsid w:val="2A4D60CA"/>
    <w:rsid w:val="2A6428AE"/>
    <w:rsid w:val="2BC41856"/>
    <w:rsid w:val="2BF10171"/>
    <w:rsid w:val="2C5A1872"/>
    <w:rsid w:val="2C7901B8"/>
    <w:rsid w:val="2D855015"/>
    <w:rsid w:val="2D984D48"/>
    <w:rsid w:val="2DAA682A"/>
    <w:rsid w:val="2DDE305F"/>
    <w:rsid w:val="2F08244F"/>
    <w:rsid w:val="2F2D0876"/>
    <w:rsid w:val="2F5729E1"/>
    <w:rsid w:val="2FD969B2"/>
    <w:rsid w:val="310D15A9"/>
    <w:rsid w:val="317F1D7B"/>
    <w:rsid w:val="32284A16"/>
    <w:rsid w:val="32BA1751"/>
    <w:rsid w:val="32E3584C"/>
    <w:rsid w:val="336D4073"/>
    <w:rsid w:val="345D45F6"/>
    <w:rsid w:val="347D5D40"/>
    <w:rsid w:val="357E61B6"/>
    <w:rsid w:val="35FA7C22"/>
    <w:rsid w:val="36574C6A"/>
    <w:rsid w:val="366D191C"/>
    <w:rsid w:val="37773E65"/>
    <w:rsid w:val="38643511"/>
    <w:rsid w:val="387B562F"/>
    <w:rsid w:val="39196844"/>
    <w:rsid w:val="39B90520"/>
    <w:rsid w:val="3ABC7603"/>
    <w:rsid w:val="3B7D38F6"/>
    <w:rsid w:val="3C1B798B"/>
    <w:rsid w:val="3E5C0107"/>
    <w:rsid w:val="3EAA6BBA"/>
    <w:rsid w:val="3F474725"/>
    <w:rsid w:val="40385F17"/>
    <w:rsid w:val="4136645F"/>
    <w:rsid w:val="41967399"/>
    <w:rsid w:val="42C9673A"/>
    <w:rsid w:val="42CA554C"/>
    <w:rsid w:val="438A6A89"/>
    <w:rsid w:val="43D47D05"/>
    <w:rsid w:val="456B28EB"/>
    <w:rsid w:val="46AB7443"/>
    <w:rsid w:val="46BB6321"/>
    <w:rsid w:val="46D3762C"/>
    <w:rsid w:val="46FA0791"/>
    <w:rsid w:val="47300B14"/>
    <w:rsid w:val="478B1022"/>
    <w:rsid w:val="47B60CA9"/>
    <w:rsid w:val="482E20D9"/>
    <w:rsid w:val="489D6486"/>
    <w:rsid w:val="48A51C70"/>
    <w:rsid w:val="4A3567EB"/>
    <w:rsid w:val="4B160936"/>
    <w:rsid w:val="4BE156B5"/>
    <w:rsid w:val="4C4A0988"/>
    <w:rsid w:val="4D36558C"/>
    <w:rsid w:val="4DC33E77"/>
    <w:rsid w:val="4DE228AD"/>
    <w:rsid w:val="4E1E499E"/>
    <w:rsid w:val="4E636855"/>
    <w:rsid w:val="4FCE407F"/>
    <w:rsid w:val="517A3ACB"/>
    <w:rsid w:val="519A258E"/>
    <w:rsid w:val="51EE4E78"/>
    <w:rsid w:val="523B0BD0"/>
    <w:rsid w:val="524C6D57"/>
    <w:rsid w:val="53004AA6"/>
    <w:rsid w:val="536565FF"/>
    <w:rsid w:val="541832B8"/>
    <w:rsid w:val="546B3B9A"/>
    <w:rsid w:val="54745318"/>
    <w:rsid w:val="55374344"/>
    <w:rsid w:val="55393819"/>
    <w:rsid w:val="553D3E45"/>
    <w:rsid w:val="555F72D1"/>
    <w:rsid w:val="55722B65"/>
    <w:rsid w:val="55F77924"/>
    <w:rsid w:val="56584C30"/>
    <w:rsid w:val="56D055F6"/>
    <w:rsid w:val="57F34F38"/>
    <w:rsid w:val="580122D5"/>
    <w:rsid w:val="58B33FF7"/>
    <w:rsid w:val="58D97E3F"/>
    <w:rsid w:val="592F7A5F"/>
    <w:rsid w:val="59F02E1D"/>
    <w:rsid w:val="5A3612C1"/>
    <w:rsid w:val="5A890B44"/>
    <w:rsid w:val="5BE55683"/>
    <w:rsid w:val="5C7A0D57"/>
    <w:rsid w:val="5CCB3F43"/>
    <w:rsid w:val="5D103AA5"/>
    <w:rsid w:val="5D284EF1"/>
    <w:rsid w:val="5D403056"/>
    <w:rsid w:val="5E361890"/>
    <w:rsid w:val="5EBD5B0D"/>
    <w:rsid w:val="5EFE0B84"/>
    <w:rsid w:val="5F24793A"/>
    <w:rsid w:val="5F2B6F1B"/>
    <w:rsid w:val="5F713D25"/>
    <w:rsid w:val="5FAB005C"/>
    <w:rsid w:val="60545FFD"/>
    <w:rsid w:val="606D5311"/>
    <w:rsid w:val="611D6D37"/>
    <w:rsid w:val="61BA56D0"/>
    <w:rsid w:val="63651E18"/>
    <w:rsid w:val="63B43291"/>
    <w:rsid w:val="64410F8F"/>
    <w:rsid w:val="64994927"/>
    <w:rsid w:val="64B33C3A"/>
    <w:rsid w:val="659B71CE"/>
    <w:rsid w:val="65B500D5"/>
    <w:rsid w:val="65E72ED2"/>
    <w:rsid w:val="678673E4"/>
    <w:rsid w:val="67A421BA"/>
    <w:rsid w:val="67B03147"/>
    <w:rsid w:val="67E303EE"/>
    <w:rsid w:val="68AD274F"/>
    <w:rsid w:val="69A41DA4"/>
    <w:rsid w:val="6A2F1246"/>
    <w:rsid w:val="6AD409C2"/>
    <w:rsid w:val="6AF74155"/>
    <w:rsid w:val="6B8974A3"/>
    <w:rsid w:val="6BF476BA"/>
    <w:rsid w:val="6C664C39"/>
    <w:rsid w:val="6C953C26"/>
    <w:rsid w:val="6CA200F0"/>
    <w:rsid w:val="6D213ED4"/>
    <w:rsid w:val="6D237639"/>
    <w:rsid w:val="6D321474"/>
    <w:rsid w:val="6D493829"/>
    <w:rsid w:val="6D793547"/>
    <w:rsid w:val="6DBC51E2"/>
    <w:rsid w:val="6DC856CC"/>
    <w:rsid w:val="6DF410F1"/>
    <w:rsid w:val="70387698"/>
    <w:rsid w:val="70511FB0"/>
    <w:rsid w:val="70833895"/>
    <w:rsid w:val="7099727A"/>
    <w:rsid w:val="716713AF"/>
    <w:rsid w:val="72296778"/>
    <w:rsid w:val="722C6DDA"/>
    <w:rsid w:val="72B6227C"/>
    <w:rsid w:val="739A5FC5"/>
    <w:rsid w:val="73B74D1A"/>
    <w:rsid w:val="740F7B1B"/>
    <w:rsid w:val="745512E4"/>
    <w:rsid w:val="745F3B1C"/>
    <w:rsid w:val="74600FBD"/>
    <w:rsid w:val="74692FC2"/>
    <w:rsid w:val="74B56C06"/>
    <w:rsid w:val="74FD4A5E"/>
    <w:rsid w:val="757C3BD5"/>
    <w:rsid w:val="758D3028"/>
    <w:rsid w:val="763C3E8B"/>
    <w:rsid w:val="77221B1B"/>
    <w:rsid w:val="77C74EAF"/>
    <w:rsid w:val="78564BB1"/>
    <w:rsid w:val="78761709"/>
    <w:rsid w:val="78A87854"/>
    <w:rsid w:val="78C90F42"/>
    <w:rsid w:val="78D4514E"/>
    <w:rsid w:val="790D407B"/>
    <w:rsid w:val="79202AC9"/>
    <w:rsid w:val="7939765F"/>
    <w:rsid w:val="795D5ACB"/>
    <w:rsid w:val="7BE27D1D"/>
    <w:rsid w:val="7C37736F"/>
    <w:rsid w:val="7CE7227B"/>
    <w:rsid w:val="7D0431A4"/>
    <w:rsid w:val="7D3A787F"/>
    <w:rsid w:val="7DAC0DCF"/>
    <w:rsid w:val="7DB30FE1"/>
    <w:rsid w:val="7DDC005F"/>
    <w:rsid w:val="7F594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100"/>
      <w:outlineLvl w:val="1"/>
    </w:pPr>
    <w:rPr>
      <w:rFonts w:eastAsia="宋体" w:cs="Times New Roman"/>
      <w:b/>
      <w:bCs/>
      <w:sz w:val="28"/>
      <w:szCs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9">
    <w:name w:val="Title"/>
    <w:basedOn w:val="1"/>
    <w:next w:val="1"/>
    <w:autoRedefine/>
    <w:qFormat/>
    <w:uiPriority w:val="0"/>
    <w:pPr>
      <w:numPr>
        <w:ilvl w:val="0"/>
        <w:numId w:val="1"/>
      </w:numPr>
      <w:spacing w:line="560" w:lineRule="exact"/>
      <w:ind w:firstLine="600" w:firstLineChars="200"/>
    </w:pPr>
    <w:rPr>
      <w:rFonts w:ascii="黑体" w:hAnsi="黑体" w:eastAsia="黑体" w:cs="宋体"/>
      <w:sz w:val="30"/>
      <w:szCs w:val="30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BodyText"/>
    <w:basedOn w:val="1"/>
    <w:autoRedefine/>
    <w:qFormat/>
    <w:uiPriority w:val="0"/>
    <w:pPr>
      <w:spacing w:line="480" w:lineRule="exact"/>
    </w:pPr>
    <w:rPr>
      <w:rFonts w:ascii="宋体" w:hAnsi="宋体"/>
      <w:sz w:val="28"/>
    </w:rPr>
  </w:style>
  <w:style w:type="character" w:customStyle="1" w:styleId="16">
    <w:name w:val="NormalCharacter"/>
    <w:autoRedefine/>
    <w:semiHidden/>
    <w:qFormat/>
    <w:uiPriority w:val="0"/>
    <w:rPr>
      <w:rFonts w:eastAsia="方正仿宋_GBK"/>
      <w:kern w:val="2"/>
      <w:sz w:val="30"/>
      <w:szCs w:val="30"/>
      <w:lang w:val="en-US" w:eastAsia="zh-CN" w:bidi="ar-SA"/>
    </w:rPr>
  </w:style>
  <w:style w:type="paragraph" w:customStyle="1" w:styleId="17">
    <w:name w:val="UserStyle_0"/>
    <w:basedOn w:val="9"/>
    <w:autoRedefine/>
    <w:qFormat/>
    <w:uiPriority w:val="0"/>
    <w:pPr>
      <w:spacing w:line="360" w:lineRule="auto"/>
      <w:textAlignment w:val="baseline"/>
    </w:pPr>
    <w:rPr>
      <w:rFonts w:cs="Times New Roman"/>
    </w:rPr>
  </w:style>
  <w:style w:type="character" w:customStyle="1" w:styleId="18">
    <w:name w:val="font5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9">
    <w:name w:val="font1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1">
    <w:name w:val="正文（三号）"/>
    <w:qFormat/>
    <w:uiPriority w:val="0"/>
    <w:pPr>
      <w:widowControl w:val="0"/>
      <w:ind w:firstLine="880" w:firstLineChars="200"/>
      <w:jc w:val="both"/>
    </w:pPr>
    <w:rPr>
      <w:rFonts w:ascii="宋体" w:hAnsi="宋体" w:eastAsia="宋体" w:cs="Times New Roman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中铁17局</Company>
  <Pages>6</Pages>
  <Words>2648</Words>
  <Characters>2872</Characters>
  <Lines>0</Lines>
  <Paragraphs>0</Paragraphs>
  <TotalTime>5</TotalTime>
  <ScaleCrop>false</ScaleCrop>
  <LinksUpToDate>false</LinksUpToDate>
  <CharactersWithSpaces>2921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2024-05-23T03:31:00Z</dcterms:created>
  <dc:creator>封云泽</dc:creator>
  <cp:lastModifiedBy>褚利娜</cp:lastModifiedBy>
  <cp:lastPrinted>2024-11-26T02:16:00Z</cp:lastPrinted>
  <dcterms:modified xsi:type="dcterms:W3CDTF">2026-06-29T08:02:46Z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6764AB66869342ABB95198AF9B3F79FE_13</vt:lpwstr>
  </property>
  <property fmtid="{D5CDD505-2E9C-101B-9397-08002B2CF9AE}" pid="4" name="KSOTemplateDocerSaveRecord">
    <vt:lpwstr>eyJoZGlkIjoiM2NhNTAyZmNkMWFiZDkwOThkZThiODQ2OGJlNDI1ZTQiLCJ1c2VySWQiOiIxNzY0MTAzMzQ4In0=</vt:lpwstr>
  </property>
</Properties>
</file>